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53" w:rsidRPr="00A266E6" w:rsidRDefault="00013353" w:rsidP="00E3547C">
      <w:pPr>
        <w:rPr>
          <w:rFonts w:ascii="Arial" w:hAnsi="Arial" w:cs="Arial"/>
          <w:sz w:val="24"/>
          <w:szCs w:val="24"/>
        </w:rPr>
      </w:pPr>
      <w:bookmarkStart w:id="0" w:name="_GoBack"/>
      <w:bookmarkEnd w:id="0"/>
      <w:r w:rsidRPr="00A266E6">
        <w:rPr>
          <w:rFonts w:ascii="Arial" w:hAnsi="Arial" w:cs="Arial"/>
          <w:sz w:val="24"/>
          <w:szCs w:val="24"/>
        </w:rPr>
        <w:t xml:space="preserve">Durch die Errichtung und den Betrieb von industriellen Windkraftanlagen in hydrogeologisch sensiblen Regionen, insbesondere in Waldgebieten, innerhalb oder in räumlicher Nähe der Wasserschutzzonen II und III ergibt sich eine Bedrohung der Bevölkerung </w:t>
      </w:r>
      <w:r w:rsidR="00204270">
        <w:rPr>
          <w:rFonts w:ascii="Arial" w:hAnsi="Arial" w:cs="Arial"/>
          <w:sz w:val="24"/>
          <w:szCs w:val="24"/>
        </w:rPr>
        <w:t xml:space="preserve">insbesondere </w:t>
      </w:r>
      <w:r w:rsidRPr="00A266E6">
        <w:rPr>
          <w:rFonts w:ascii="Arial" w:hAnsi="Arial" w:cs="Arial"/>
          <w:sz w:val="24"/>
          <w:szCs w:val="24"/>
        </w:rPr>
        <w:t xml:space="preserve">durch wassergefährdende Stoffe und </w:t>
      </w:r>
      <w:r w:rsidR="00204270">
        <w:rPr>
          <w:rFonts w:ascii="Arial" w:hAnsi="Arial" w:cs="Arial"/>
          <w:sz w:val="24"/>
          <w:szCs w:val="24"/>
        </w:rPr>
        <w:t xml:space="preserve">zusätzliche </w:t>
      </w:r>
      <w:r w:rsidRPr="00A266E6">
        <w:rPr>
          <w:rFonts w:ascii="Arial" w:hAnsi="Arial" w:cs="Arial"/>
          <w:sz w:val="24"/>
          <w:szCs w:val="24"/>
        </w:rPr>
        <w:t>Nitratbelastung</w:t>
      </w:r>
      <w:r w:rsidR="008C55C2">
        <w:rPr>
          <w:rFonts w:ascii="Arial" w:hAnsi="Arial" w:cs="Arial"/>
          <w:sz w:val="24"/>
          <w:szCs w:val="24"/>
        </w:rPr>
        <w:t>en</w:t>
      </w:r>
      <w:r w:rsidRPr="00A266E6">
        <w:rPr>
          <w:rFonts w:ascii="Arial" w:hAnsi="Arial" w:cs="Arial"/>
          <w:sz w:val="24"/>
          <w:szCs w:val="24"/>
        </w:rPr>
        <w:t xml:space="preserve"> in Trinkwassereinzugsgebieten </w:t>
      </w:r>
      <w:r w:rsidR="001F2B4B">
        <w:rPr>
          <w:rFonts w:ascii="Arial" w:hAnsi="Arial" w:cs="Arial"/>
          <w:sz w:val="24"/>
          <w:szCs w:val="24"/>
        </w:rPr>
        <w:t>[</w:t>
      </w:r>
      <w:r w:rsidRPr="00A266E6">
        <w:rPr>
          <w:rFonts w:ascii="Arial" w:hAnsi="Arial" w:cs="Arial"/>
          <w:sz w:val="24"/>
          <w:szCs w:val="24"/>
        </w:rPr>
        <w:t xml:space="preserve">Bestätigung durch Experten-Gutachten* am Beispiel </w:t>
      </w:r>
      <w:r w:rsidR="00FA2BF0">
        <w:rPr>
          <w:rFonts w:ascii="Arial" w:hAnsi="Arial" w:cs="Arial"/>
          <w:sz w:val="24"/>
          <w:szCs w:val="24"/>
        </w:rPr>
        <w:t>der</w:t>
      </w:r>
      <w:r w:rsidRPr="00A266E6">
        <w:rPr>
          <w:rFonts w:ascii="Arial" w:hAnsi="Arial" w:cs="Arial"/>
          <w:sz w:val="24"/>
          <w:szCs w:val="24"/>
        </w:rPr>
        <w:t xml:space="preserve"> Region Taunuskamm, Hessen, Gebietsregion </w:t>
      </w:r>
      <w:r w:rsidR="00F316DC" w:rsidRPr="00A266E6">
        <w:rPr>
          <w:rFonts w:ascii="Arial" w:hAnsi="Arial" w:cs="Arial"/>
          <w:sz w:val="24"/>
          <w:szCs w:val="24"/>
        </w:rPr>
        <w:t>Hoher Taunus (Naturräumliche Gliederung gemäß Handbuch der naturräumlichen Gliederung Deutschlands, Umweltatlas Hessen)</w:t>
      </w:r>
      <w:r w:rsidR="001F2B4B">
        <w:rPr>
          <w:rFonts w:ascii="Arial" w:hAnsi="Arial" w:cs="Arial"/>
          <w:sz w:val="24"/>
          <w:szCs w:val="24"/>
        </w:rPr>
        <w:t>]</w:t>
      </w:r>
      <w:r w:rsidR="00F316DC" w:rsidRPr="00A266E6">
        <w:rPr>
          <w:rFonts w:ascii="Arial" w:hAnsi="Arial" w:cs="Arial"/>
          <w:sz w:val="24"/>
          <w:szCs w:val="24"/>
        </w:rPr>
        <w:t>.</w:t>
      </w:r>
    </w:p>
    <w:p w:rsidR="00424D5E" w:rsidRPr="00994845" w:rsidRDefault="00D259B8" w:rsidP="00E3547C">
      <w:pPr>
        <w:rPr>
          <w:rFonts w:ascii="Arial" w:hAnsi="Arial" w:cs="Arial"/>
          <w:sz w:val="18"/>
          <w:szCs w:val="18"/>
        </w:rPr>
      </w:pPr>
      <w:r>
        <w:rPr>
          <w:rFonts w:ascii="Arial" w:hAnsi="Arial" w:cs="Arial"/>
          <w:sz w:val="18"/>
          <w:szCs w:val="18"/>
        </w:rPr>
        <w:t>*) Quellen</w:t>
      </w:r>
    </w:p>
    <w:p w:rsidR="00424D5E" w:rsidRPr="00994845" w:rsidRDefault="0034266B" w:rsidP="00E3547C">
      <w:pPr>
        <w:rPr>
          <w:rFonts w:ascii="Arial" w:hAnsi="Arial" w:cs="Arial"/>
          <w:sz w:val="18"/>
          <w:szCs w:val="18"/>
        </w:rPr>
      </w:pPr>
      <w:proofErr w:type="spellStart"/>
      <w:r w:rsidRPr="00994845">
        <w:rPr>
          <w:rFonts w:ascii="Arial" w:hAnsi="Arial" w:cs="Arial"/>
          <w:sz w:val="18"/>
          <w:szCs w:val="18"/>
        </w:rPr>
        <w:t>Hötzl</w:t>
      </w:r>
      <w:proofErr w:type="spellEnd"/>
      <w:r w:rsidR="00E36572">
        <w:rPr>
          <w:rFonts w:ascii="Arial" w:hAnsi="Arial" w:cs="Arial"/>
          <w:sz w:val="18"/>
          <w:szCs w:val="18"/>
        </w:rPr>
        <w:t xml:space="preserve">, H. (2014): </w:t>
      </w:r>
      <w:r w:rsidR="00E36572" w:rsidRPr="00994845">
        <w:rPr>
          <w:rFonts w:ascii="Arial" w:hAnsi="Arial" w:cs="Arial"/>
          <w:sz w:val="18"/>
          <w:szCs w:val="18"/>
        </w:rPr>
        <w:t xml:space="preserve">Hydrogeologisches Gutachten Taunuskamm (Bereich Hohe Wurzel, </w:t>
      </w:r>
      <w:proofErr w:type="spellStart"/>
      <w:r w:rsidR="00E36572" w:rsidRPr="00994845">
        <w:rPr>
          <w:rFonts w:ascii="Arial" w:hAnsi="Arial" w:cs="Arial"/>
          <w:sz w:val="18"/>
          <w:szCs w:val="18"/>
        </w:rPr>
        <w:t>Schläferskopf</w:t>
      </w:r>
      <w:proofErr w:type="spellEnd"/>
      <w:r w:rsidR="00E36572" w:rsidRPr="00994845">
        <w:rPr>
          <w:rFonts w:ascii="Arial" w:hAnsi="Arial" w:cs="Arial"/>
          <w:sz w:val="18"/>
          <w:szCs w:val="18"/>
        </w:rPr>
        <w:t>) im Auftrag der Stadt Taunusstein.</w:t>
      </w:r>
      <w:r w:rsidR="00E36572">
        <w:rPr>
          <w:rFonts w:ascii="Arial" w:hAnsi="Arial" w:cs="Arial"/>
          <w:sz w:val="18"/>
          <w:szCs w:val="18"/>
        </w:rPr>
        <w:t xml:space="preserve">- </w:t>
      </w:r>
      <w:r w:rsidRPr="00994845">
        <w:rPr>
          <w:rFonts w:ascii="Arial" w:hAnsi="Arial" w:cs="Arial"/>
          <w:sz w:val="18"/>
          <w:szCs w:val="18"/>
        </w:rPr>
        <w:t>Institut für Angewandte Geowissenschaften, Universität Karlsruhe</w:t>
      </w:r>
    </w:p>
    <w:p w:rsidR="00FE06C7" w:rsidRPr="00994845" w:rsidRDefault="00BE6147" w:rsidP="00E3547C">
      <w:pPr>
        <w:rPr>
          <w:rFonts w:ascii="Arial" w:hAnsi="Arial" w:cs="Arial"/>
          <w:sz w:val="18"/>
          <w:szCs w:val="18"/>
        </w:rPr>
      </w:pPr>
      <w:r w:rsidRPr="00994845">
        <w:rPr>
          <w:rFonts w:ascii="Arial" w:hAnsi="Arial" w:cs="Arial"/>
          <w:sz w:val="18"/>
          <w:szCs w:val="18"/>
        </w:rPr>
        <w:t xml:space="preserve">Toussaint, </w:t>
      </w:r>
      <w:r w:rsidR="00E36572">
        <w:rPr>
          <w:rFonts w:ascii="Arial" w:hAnsi="Arial" w:cs="Arial"/>
          <w:sz w:val="18"/>
          <w:szCs w:val="18"/>
        </w:rPr>
        <w:t xml:space="preserve">B. &amp; </w:t>
      </w:r>
      <w:r w:rsidRPr="00994845">
        <w:rPr>
          <w:rFonts w:ascii="Arial" w:hAnsi="Arial" w:cs="Arial"/>
          <w:sz w:val="18"/>
          <w:szCs w:val="18"/>
        </w:rPr>
        <w:t>Stahr</w:t>
      </w:r>
      <w:r w:rsidR="00E36572">
        <w:rPr>
          <w:rFonts w:ascii="Arial" w:hAnsi="Arial" w:cs="Arial"/>
          <w:sz w:val="18"/>
          <w:szCs w:val="18"/>
        </w:rPr>
        <w:t>, A. (2014)</w:t>
      </w:r>
      <w:r w:rsidRPr="00994845">
        <w:rPr>
          <w:rFonts w:ascii="Arial" w:hAnsi="Arial" w:cs="Arial"/>
          <w:sz w:val="18"/>
          <w:szCs w:val="18"/>
        </w:rPr>
        <w:t xml:space="preserve">: </w:t>
      </w:r>
      <w:r w:rsidR="00424D5E" w:rsidRPr="00994845">
        <w:rPr>
          <w:rFonts w:ascii="Arial" w:hAnsi="Arial" w:cs="Arial"/>
          <w:sz w:val="18"/>
          <w:szCs w:val="18"/>
        </w:rPr>
        <w:t>Fachliche Bewertung von Risiken für Trinkwasserschutzgebiete und Trinkwasser hinsichtlich der Errichtung von Windkraftanlagen (WKA) im Bereich des Taunuskamms</w:t>
      </w:r>
      <w:r w:rsidR="00D2450A" w:rsidRPr="00994845">
        <w:rPr>
          <w:rFonts w:ascii="Arial" w:hAnsi="Arial" w:cs="Arial"/>
          <w:sz w:val="18"/>
          <w:szCs w:val="18"/>
        </w:rPr>
        <w:t>.</w:t>
      </w:r>
    </w:p>
    <w:p w:rsidR="00D92C08" w:rsidRDefault="00D92C08" w:rsidP="00E3547C">
      <w:pPr>
        <w:rPr>
          <w:rFonts w:ascii="Arial" w:hAnsi="Arial" w:cs="Arial"/>
          <w:sz w:val="24"/>
          <w:szCs w:val="24"/>
        </w:rPr>
      </w:pPr>
      <w:r w:rsidRPr="00D92C08">
        <w:rPr>
          <w:rFonts w:ascii="Arial" w:hAnsi="Arial" w:cs="Arial"/>
          <w:sz w:val="24"/>
          <w:szCs w:val="24"/>
        </w:rPr>
        <w:t>Die meisten Trinkwasserschutzgebiete (Grundwasser) in Deutschland wurden vor mehreren Jahrzehnten im Hinblick auf Flächengröße und Konfiguration amtlich festgesetzt. In einer Vielzahl der Fälle blieben die Abgrenzungen der Schutzzonen, insbesondere der Zonen II und III, bis heute unverändert. Die hydrogeologische Empfehlung für Fläche und Abgrenzung erfolgte z. B. für den Taunuskamm (Hessen, Gebietsregion Hoher Taunus) im Jahr 1962, die amtliche Festsetzung durch den RP Wiesbaden zehn Jahre später.</w:t>
      </w:r>
    </w:p>
    <w:p w:rsidR="00E63C1D" w:rsidRPr="00E3547C" w:rsidRDefault="00E63C1D" w:rsidP="00E3547C">
      <w:pPr>
        <w:rPr>
          <w:rFonts w:ascii="Arial" w:hAnsi="Arial" w:cs="Arial"/>
          <w:sz w:val="24"/>
          <w:szCs w:val="24"/>
        </w:rPr>
      </w:pPr>
      <w:r w:rsidRPr="00E3547C">
        <w:rPr>
          <w:rFonts w:ascii="Arial" w:hAnsi="Arial" w:cs="Arial"/>
          <w:sz w:val="24"/>
          <w:szCs w:val="24"/>
        </w:rPr>
        <w:t>Das Arbeitsblatt W 103 des Deutschen Vereins des Gas- und Wasserfachs e.</w:t>
      </w:r>
      <w:r w:rsidR="00C97A45">
        <w:rPr>
          <w:rFonts w:ascii="Arial" w:hAnsi="Arial" w:cs="Arial"/>
          <w:sz w:val="24"/>
          <w:szCs w:val="24"/>
        </w:rPr>
        <w:t xml:space="preserve"> </w:t>
      </w:r>
      <w:r w:rsidRPr="00E3547C">
        <w:rPr>
          <w:rFonts w:ascii="Arial" w:hAnsi="Arial" w:cs="Arial"/>
          <w:sz w:val="24"/>
          <w:szCs w:val="24"/>
        </w:rPr>
        <w:t xml:space="preserve">V. (DVGW) ist das in Deutschland maßgebende Regelwerk mit normativem Charakter im Zusammenhang mit der Bemessung </w:t>
      </w:r>
      <w:r w:rsidR="00C6286A" w:rsidRPr="00E3547C">
        <w:rPr>
          <w:rFonts w:ascii="Arial" w:hAnsi="Arial" w:cs="Arial"/>
          <w:sz w:val="24"/>
          <w:szCs w:val="24"/>
        </w:rPr>
        <w:t>und Ausweisung von Trinkwasserschutzgebieten für Grundwasser</w:t>
      </w:r>
      <w:r w:rsidR="00A658FE">
        <w:rPr>
          <w:rFonts w:ascii="Arial" w:hAnsi="Arial" w:cs="Arial"/>
          <w:sz w:val="24"/>
          <w:szCs w:val="24"/>
        </w:rPr>
        <w:t xml:space="preserve"> (</w:t>
      </w:r>
      <w:r w:rsidR="00A658FE" w:rsidRPr="00A658FE">
        <w:rPr>
          <w:rFonts w:ascii="Arial" w:hAnsi="Arial" w:cs="Arial"/>
          <w:sz w:val="24"/>
          <w:szCs w:val="24"/>
        </w:rPr>
        <w:t>1. Teil: Schutzgebiete für Grundwasser – DVGW-Regelwerk, Technische Regeln, Arbeitsblatt W 101, Juni 2006</w:t>
      </w:r>
      <w:r w:rsidR="00A658FE">
        <w:rPr>
          <w:rFonts w:ascii="Arial" w:hAnsi="Arial" w:cs="Arial"/>
          <w:sz w:val="24"/>
          <w:szCs w:val="24"/>
        </w:rPr>
        <w:t>)</w:t>
      </w:r>
      <w:r w:rsidR="00C6286A" w:rsidRPr="00E3547C">
        <w:rPr>
          <w:rFonts w:ascii="Arial" w:hAnsi="Arial" w:cs="Arial"/>
          <w:sz w:val="24"/>
          <w:szCs w:val="24"/>
        </w:rPr>
        <w:t xml:space="preserve">. Unter Anderem </w:t>
      </w:r>
      <w:r w:rsidR="00677927" w:rsidRPr="00E3547C">
        <w:rPr>
          <w:rFonts w:ascii="Arial" w:hAnsi="Arial" w:cs="Arial"/>
          <w:sz w:val="24"/>
          <w:szCs w:val="24"/>
        </w:rPr>
        <w:t>empfiehlt dieses Regelwerk</w:t>
      </w:r>
      <w:r w:rsidR="00C6286A" w:rsidRPr="00E3547C">
        <w:rPr>
          <w:rFonts w:ascii="Arial" w:hAnsi="Arial" w:cs="Arial"/>
          <w:sz w:val="24"/>
          <w:szCs w:val="24"/>
        </w:rPr>
        <w:t xml:space="preserve"> </w:t>
      </w:r>
      <w:r w:rsidR="00677927" w:rsidRPr="00E3547C">
        <w:rPr>
          <w:rFonts w:ascii="Arial" w:hAnsi="Arial" w:cs="Arial"/>
          <w:sz w:val="24"/>
          <w:szCs w:val="24"/>
        </w:rPr>
        <w:t>dringend</w:t>
      </w:r>
      <w:r w:rsidR="00C6286A" w:rsidRPr="00E3547C">
        <w:rPr>
          <w:rFonts w:ascii="Arial" w:hAnsi="Arial" w:cs="Arial"/>
          <w:sz w:val="24"/>
          <w:szCs w:val="24"/>
        </w:rPr>
        <w:t xml:space="preserve">, mindestens einmal in zehn Jahren die bestehenden Schutzgebiete im Hinblick auf aktuelle Geländenutzung/geplante Nutzungsänderungen und mögliche Gefährdungspotenziale zu überprüfen und dabei den </w:t>
      </w:r>
      <w:r w:rsidR="00C6286A" w:rsidRPr="00634149">
        <w:rPr>
          <w:rFonts w:ascii="Arial" w:hAnsi="Arial" w:cs="Arial"/>
          <w:sz w:val="24"/>
          <w:szCs w:val="24"/>
        </w:rPr>
        <w:t>Stand</w:t>
      </w:r>
      <w:r w:rsidR="00634149">
        <w:rPr>
          <w:rFonts w:ascii="Arial" w:hAnsi="Arial" w:cs="Arial"/>
          <w:sz w:val="24"/>
          <w:szCs w:val="24"/>
        </w:rPr>
        <w:t xml:space="preserve"> </w:t>
      </w:r>
      <w:r w:rsidR="00C6286A" w:rsidRPr="00634149">
        <w:rPr>
          <w:rFonts w:ascii="Arial" w:hAnsi="Arial" w:cs="Arial"/>
          <w:sz w:val="24"/>
          <w:szCs w:val="24"/>
        </w:rPr>
        <w:t>der</w:t>
      </w:r>
      <w:r w:rsidR="00634149">
        <w:rPr>
          <w:rFonts w:ascii="Arial" w:hAnsi="Arial" w:cs="Arial"/>
          <w:sz w:val="24"/>
          <w:szCs w:val="24"/>
        </w:rPr>
        <w:t xml:space="preserve"> </w:t>
      </w:r>
      <w:r w:rsidR="00C6286A" w:rsidRPr="00634149">
        <w:rPr>
          <w:rFonts w:ascii="Arial" w:hAnsi="Arial" w:cs="Arial"/>
          <w:sz w:val="24"/>
          <w:szCs w:val="24"/>
        </w:rPr>
        <w:t>Technik</w:t>
      </w:r>
      <w:r w:rsidR="00C6286A" w:rsidRPr="00E3547C">
        <w:rPr>
          <w:rFonts w:ascii="Arial" w:hAnsi="Arial" w:cs="Arial"/>
          <w:sz w:val="24"/>
          <w:szCs w:val="24"/>
        </w:rPr>
        <w:t xml:space="preserve"> bei der Bemessung der Schutzzonen </w:t>
      </w:r>
      <w:r w:rsidR="00677927" w:rsidRPr="00E3547C">
        <w:rPr>
          <w:rFonts w:ascii="Arial" w:hAnsi="Arial" w:cs="Arial"/>
          <w:sz w:val="24"/>
          <w:szCs w:val="24"/>
        </w:rPr>
        <w:t>zu berücksichtigen</w:t>
      </w:r>
      <w:r w:rsidR="00C6286A" w:rsidRPr="00E3547C">
        <w:rPr>
          <w:rFonts w:ascii="Arial" w:hAnsi="Arial" w:cs="Arial"/>
          <w:sz w:val="24"/>
          <w:szCs w:val="24"/>
        </w:rPr>
        <w:t>.</w:t>
      </w:r>
      <w:r w:rsidRPr="00E3547C">
        <w:rPr>
          <w:rFonts w:ascii="Arial" w:hAnsi="Arial" w:cs="Arial"/>
          <w:sz w:val="24"/>
          <w:szCs w:val="24"/>
        </w:rPr>
        <w:t xml:space="preserve"> </w:t>
      </w:r>
      <w:r w:rsidR="00C6286A" w:rsidRPr="00E3547C">
        <w:rPr>
          <w:rFonts w:ascii="Arial" w:hAnsi="Arial" w:cs="Arial"/>
          <w:sz w:val="24"/>
          <w:szCs w:val="24"/>
        </w:rPr>
        <w:t xml:space="preserve">Der Stand der Technik ist heute insbesondere der </w:t>
      </w:r>
      <w:r w:rsidR="00C6286A" w:rsidRPr="00360606">
        <w:rPr>
          <w:rFonts w:ascii="Arial" w:hAnsi="Arial" w:cs="Arial"/>
          <w:sz w:val="24"/>
          <w:szCs w:val="24"/>
        </w:rPr>
        <w:t>geohydraulische</w:t>
      </w:r>
      <w:r w:rsidR="00C6286A" w:rsidRPr="00E3547C">
        <w:rPr>
          <w:rFonts w:ascii="Arial" w:hAnsi="Arial" w:cs="Arial"/>
          <w:sz w:val="24"/>
          <w:szCs w:val="24"/>
        </w:rPr>
        <w:t xml:space="preserve"> Ansatz, der auf der spezifischen Kenntnis der durch die tektonischen Verhältnisse gesteuerten Grundwasserströmung in </w:t>
      </w:r>
      <w:proofErr w:type="spellStart"/>
      <w:r w:rsidR="00C6286A" w:rsidRPr="00E3547C">
        <w:rPr>
          <w:rFonts w:ascii="Arial" w:hAnsi="Arial" w:cs="Arial"/>
          <w:sz w:val="24"/>
          <w:szCs w:val="24"/>
        </w:rPr>
        <w:t>geklüfteten</w:t>
      </w:r>
      <w:proofErr w:type="spellEnd"/>
      <w:r w:rsidR="00C6286A" w:rsidRPr="00E3547C">
        <w:rPr>
          <w:rFonts w:ascii="Arial" w:hAnsi="Arial" w:cs="Arial"/>
          <w:sz w:val="24"/>
          <w:szCs w:val="24"/>
        </w:rPr>
        <w:t xml:space="preserve"> Grundwasserleitern beruht.</w:t>
      </w:r>
    </w:p>
    <w:p w:rsidR="009D364E" w:rsidRPr="0060710D" w:rsidRDefault="009D364E" w:rsidP="00E3547C">
      <w:pPr>
        <w:rPr>
          <w:rFonts w:ascii="Arial" w:hAnsi="Arial" w:cs="Arial"/>
          <w:sz w:val="24"/>
          <w:szCs w:val="24"/>
        </w:rPr>
      </w:pPr>
      <w:r w:rsidRPr="00E3547C">
        <w:rPr>
          <w:rFonts w:ascii="Arial" w:hAnsi="Arial" w:cs="Arial"/>
          <w:sz w:val="24"/>
          <w:szCs w:val="24"/>
        </w:rPr>
        <w:t>Windparks werden in Mittelgebirgslandschaften bevorzugt auf Höhenrücken (</w:t>
      </w:r>
      <w:r w:rsidR="00911349">
        <w:rPr>
          <w:rFonts w:ascii="Arial" w:hAnsi="Arial" w:cs="Arial"/>
          <w:sz w:val="24"/>
          <w:szCs w:val="24"/>
        </w:rPr>
        <w:t xml:space="preserve">z. B. </w:t>
      </w:r>
      <w:r w:rsidRPr="00E3547C">
        <w:rPr>
          <w:rFonts w:ascii="Arial" w:hAnsi="Arial" w:cs="Arial"/>
          <w:sz w:val="24"/>
          <w:szCs w:val="24"/>
        </w:rPr>
        <w:t>Taunus, Pfälzer Wald, Bayer</w:t>
      </w:r>
      <w:r w:rsidR="00DC5AEC">
        <w:rPr>
          <w:rFonts w:ascii="Arial" w:hAnsi="Arial" w:cs="Arial"/>
          <w:sz w:val="24"/>
          <w:szCs w:val="24"/>
        </w:rPr>
        <w:t>ischer Wald)</w:t>
      </w:r>
      <w:r w:rsidR="00CC15C6" w:rsidRPr="00E3547C">
        <w:rPr>
          <w:rFonts w:ascii="Arial" w:hAnsi="Arial" w:cs="Arial"/>
          <w:sz w:val="24"/>
          <w:szCs w:val="24"/>
        </w:rPr>
        <w:t xml:space="preserve"> eingerichtet</w:t>
      </w:r>
      <w:r w:rsidRPr="00E3547C">
        <w:rPr>
          <w:rFonts w:ascii="Arial" w:hAnsi="Arial" w:cs="Arial"/>
          <w:sz w:val="24"/>
          <w:szCs w:val="24"/>
        </w:rPr>
        <w:t xml:space="preserve">. Diese morphologisch auffälligen Bereiche </w:t>
      </w:r>
      <w:r w:rsidR="00DC5AEC">
        <w:rPr>
          <w:rFonts w:ascii="Arial" w:hAnsi="Arial" w:cs="Arial"/>
          <w:sz w:val="24"/>
          <w:szCs w:val="24"/>
        </w:rPr>
        <w:t>werden</w:t>
      </w:r>
      <w:r w:rsidR="00911349">
        <w:rPr>
          <w:rFonts w:ascii="Arial" w:hAnsi="Arial" w:cs="Arial"/>
          <w:sz w:val="24"/>
          <w:szCs w:val="24"/>
        </w:rPr>
        <w:t xml:space="preserve"> </w:t>
      </w:r>
      <w:r w:rsidR="00DC5AEC">
        <w:rPr>
          <w:rFonts w:ascii="Arial" w:hAnsi="Arial" w:cs="Arial"/>
          <w:sz w:val="24"/>
          <w:szCs w:val="24"/>
        </w:rPr>
        <w:t>meist von</w:t>
      </w:r>
      <w:r w:rsidRPr="00E3547C">
        <w:rPr>
          <w:rFonts w:ascii="Arial" w:hAnsi="Arial" w:cs="Arial"/>
          <w:sz w:val="24"/>
          <w:szCs w:val="24"/>
        </w:rPr>
        <w:t xml:space="preserve"> </w:t>
      </w:r>
      <w:r w:rsidR="00DC5AEC">
        <w:rPr>
          <w:rFonts w:ascii="Arial" w:hAnsi="Arial" w:cs="Arial"/>
          <w:sz w:val="24"/>
          <w:szCs w:val="24"/>
        </w:rPr>
        <w:t>v</w:t>
      </w:r>
      <w:r w:rsidRPr="00E3547C">
        <w:rPr>
          <w:rFonts w:ascii="Arial" w:hAnsi="Arial" w:cs="Arial"/>
          <w:sz w:val="24"/>
          <w:szCs w:val="24"/>
        </w:rPr>
        <w:t>erwitterung</w:t>
      </w:r>
      <w:r w:rsidR="00DC5AEC">
        <w:rPr>
          <w:rFonts w:ascii="Arial" w:hAnsi="Arial" w:cs="Arial"/>
          <w:sz w:val="24"/>
          <w:szCs w:val="24"/>
        </w:rPr>
        <w:t>sresistenten</w:t>
      </w:r>
      <w:r w:rsidRPr="00E3547C">
        <w:rPr>
          <w:rFonts w:ascii="Arial" w:hAnsi="Arial" w:cs="Arial"/>
          <w:sz w:val="24"/>
          <w:szCs w:val="24"/>
        </w:rPr>
        <w:t xml:space="preserve"> SiO</w:t>
      </w:r>
      <w:r w:rsidRPr="00E3547C">
        <w:rPr>
          <w:rFonts w:ascii="Arial" w:hAnsi="Arial" w:cs="Arial"/>
          <w:sz w:val="24"/>
          <w:szCs w:val="24"/>
          <w:vertAlign w:val="subscript"/>
        </w:rPr>
        <w:t>2</w:t>
      </w:r>
      <w:r w:rsidRPr="00E3547C">
        <w:rPr>
          <w:rFonts w:ascii="Arial" w:hAnsi="Arial" w:cs="Arial"/>
          <w:sz w:val="24"/>
          <w:szCs w:val="24"/>
        </w:rPr>
        <w:t>-reiche</w:t>
      </w:r>
      <w:r w:rsidR="00DC5AEC">
        <w:rPr>
          <w:rFonts w:ascii="Arial" w:hAnsi="Arial" w:cs="Arial"/>
          <w:sz w:val="24"/>
          <w:szCs w:val="24"/>
        </w:rPr>
        <w:t>n</w:t>
      </w:r>
      <w:r w:rsidRPr="00E3547C">
        <w:rPr>
          <w:rFonts w:ascii="Arial" w:hAnsi="Arial" w:cs="Arial"/>
          <w:sz w:val="24"/>
          <w:szCs w:val="24"/>
        </w:rPr>
        <w:t xml:space="preserve"> Gesteine</w:t>
      </w:r>
      <w:r w:rsidR="00DC5AEC">
        <w:rPr>
          <w:rFonts w:ascii="Arial" w:hAnsi="Arial" w:cs="Arial"/>
          <w:sz w:val="24"/>
          <w:szCs w:val="24"/>
        </w:rPr>
        <w:t>n</w:t>
      </w:r>
      <w:r w:rsidRPr="00E3547C">
        <w:rPr>
          <w:rFonts w:ascii="Arial" w:hAnsi="Arial" w:cs="Arial"/>
          <w:sz w:val="24"/>
          <w:szCs w:val="24"/>
        </w:rPr>
        <w:t xml:space="preserve"> wie Granite, Gneise, Quarzite und Sandsteine</w:t>
      </w:r>
      <w:r w:rsidR="00DC5AEC">
        <w:rPr>
          <w:rFonts w:ascii="Arial" w:hAnsi="Arial" w:cs="Arial"/>
          <w:sz w:val="24"/>
          <w:szCs w:val="24"/>
        </w:rPr>
        <w:t>n</w:t>
      </w:r>
      <w:r w:rsidRPr="00E3547C">
        <w:rPr>
          <w:rFonts w:ascii="Arial" w:hAnsi="Arial" w:cs="Arial"/>
          <w:sz w:val="24"/>
          <w:szCs w:val="24"/>
        </w:rPr>
        <w:t xml:space="preserve"> </w:t>
      </w:r>
      <w:r w:rsidR="00DC5AEC">
        <w:rPr>
          <w:rFonts w:ascii="Arial" w:hAnsi="Arial" w:cs="Arial"/>
          <w:sz w:val="24"/>
          <w:szCs w:val="24"/>
        </w:rPr>
        <w:t>eingenommen</w:t>
      </w:r>
      <w:r w:rsidRPr="00E3547C">
        <w:rPr>
          <w:rFonts w:ascii="Arial" w:hAnsi="Arial" w:cs="Arial"/>
          <w:sz w:val="24"/>
          <w:szCs w:val="24"/>
        </w:rPr>
        <w:t>. Die in diesen Gesteinen zirkulierenden und für Trinkwasserzwecke genutzten Gr</w:t>
      </w:r>
      <w:r w:rsidR="00677927" w:rsidRPr="00E3547C">
        <w:rPr>
          <w:rFonts w:ascii="Arial" w:hAnsi="Arial" w:cs="Arial"/>
          <w:sz w:val="24"/>
          <w:szCs w:val="24"/>
        </w:rPr>
        <w:t>u</w:t>
      </w:r>
      <w:r w:rsidRPr="00E3547C">
        <w:rPr>
          <w:rFonts w:ascii="Arial" w:hAnsi="Arial" w:cs="Arial"/>
          <w:sz w:val="24"/>
          <w:szCs w:val="24"/>
        </w:rPr>
        <w:t>n</w:t>
      </w:r>
      <w:r w:rsidR="00677927" w:rsidRPr="00E3547C">
        <w:rPr>
          <w:rFonts w:ascii="Arial" w:hAnsi="Arial" w:cs="Arial"/>
          <w:sz w:val="24"/>
          <w:szCs w:val="24"/>
        </w:rPr>
        <w:t>d</w:t>
      </w:r>
      <w:r w:rsidRPr="00E3547C">
        <w:rPr>
          <w:rFonts w:ascii="Arial" w:hAnsi="Arial" w:cs="Arial"/>
          <w:sz w:val="24"/>
          <w:szCs w:val="24"/>
        </w:rPr>
        <w:t>wässer sind stark</w:t>
      </w:r>
      <w:r w:rsidR="00F15426" w:rsidRPr="00E3547C">
        <w:rPr>
          <w:rFonts w:ascii="Arial" w:hAnsi="Arial" w:cs="Arial"/>
          <w:sz w:val="24"/>
          <w:szCs w:val="24"/>
        </w:rPr>
        <w:t xml:space="preserve"> verschmutzungsanfällig, weil in diesen Gesteinen physikalische, chemische und biologische Reinigungsprozesse nur eingeschränkt oder so gut wie nicht stattfinden. Die Verschmutzungsgefahr für das Grundwasser ist begründet einerseits in der gesteinsspezifischen </w:t>
      </w:r>
      <w:proofErr w:type="spellStart"/>
      <w:r w:rsidR="00F15426" w:rsidRPr="00E3547C">
        <w:rPr>
          <w:rFonts w:ascii="Arial" w:hAnsi="Arial" w:cs="Arial"/>
          <w:sz w:val="24"/>
          <w:szCs w:val="24"/>
        </w:rPr>
        <w:t>petrologischen</w:t>
      </w:r>
      <w:proofErr w:type="spellEnd"/>
      <w:r w:rsidR="00F15426" w:rsidRPr="00E3547C">
        <w:rPr>
          <w:rFonts w:ascii="Arial" w:hAnsi="Arial" w:cs="Arial"/>
          <w:sz w:val="24"/>
          <w:szCs w:val="24"/>
        </w:rPr>
        <w:t xml:space="preserve"> Matrix, die eine nennenswerte dekontaminierende Wechselwirkung mit schädlichen Inhaltstoffen des Grundwassers </w:t>
      </w:r>
      <w:r w:rsidR="00F15426" w:rsidRPr="00E3547C">
        <w:rPr>
          <w:rFonts w:ascii="Arial" w:hAnsi="Arial" w:cs="Arial"/>
          <w:sz w:val="24"/>
          <w:szCs w:val="24"/>
        </w:rPr>
        <w:lastRenderedPageBreak/>
        <w:t xml:space="preserve">kaum oder nicht zulässt, und anderseits durch die vergleichsweise schnellen </w:t>
      </w:r>
      <w:r w:rsidR="00677927" w:rsidRPr="00E3547C">
        <w:rPr>
          <w:rFonts w:ascii="Arial" w:hAnsi="Arial" w:cs="Arial"/>
          <w:sz w:val="24"/>
          <w:szCs w:val="24"/>
        </w:rPr>
        <w:t>Abstands</w:t>
      </w:r>
      <w:r w:rsidR="00F15426" w:rsidRPr="00E3547C">
        <w:rPr>
          <w:rFonts w:ascii="Arial" w:hAnsi="Arial" w:cs="Arial"/>
          <w:sz w:val="24"/>
          <w:szCs w:val="24"/>
        </w:rPr>
        <w:t xml:space="preserve">geschwindigkeiten des Grundwassers (bis &gt; 10 m/Tag) auf offenen Klüften, in denen </w:t>
      </w:r>
      <w:r w:rsidR="00CC15C6" w:rsidRPr="00E3547C">
        <w:rPr>
          <w:rFonts w:ascii="Arial" w:hAnsi="Arial" w:cs="Arial"/>
          <w:sz w:val="24"/>
          <w:szCs w:val="24"/>
        </w:rPr>
        <w:t xml:space="preserve">für einen Schadstoffabbau oder zumindest -reduzierung erforderliche längere </w:t>
      </w:r>
      <w:r w:rsidR="00F15426" w:rsidRPr="00E3547C">
        <w:rPr>
          <w:rFonts w:ascii="Arial" w:hAnsi="Arial" w:cs="Arial"/>
          <w:sz w:val="24"/>
          <w:szCs w:val="24"/>
        </w:rPr>
        <w:t xml:space="preserve">Kontaktzeiten </w:t>
      </w:r>
      <w:r w:rsidR="00CC15C6" w:rsidRPr="00E3547C">
        <w:rPr>
          <w:rFonts w:ascii="Arial" w:hAnsi="Arial" w:cs="Arial"/>
          <w:sz w:val="24"/>
          <w:szCs w:val="24"/>
        </w:rPr>
        <w:t>des</w:t>
      </w:r>
      <w:r w:rsidR="00F15426" w:rsidRPr="00E3547C">
        <w:rPr>
          <w:rFonts w:ascii="Arial" w:hAnsi="Arial" w:cs="Arial"/>
          <w:sz w:val="24"/>
          <w:szCs w:val="24"/>
        </w:rPr>
        <w:t xml:space="preserve"> eventuell kontaminierte</w:t>
      </w:r>
      <w:r w:rsidR="00CC15C6" w:rsidRPr="00E3547C">
        <w:rPr>
          <w:rFonts w:ascii="Arial" w:hAnsi="Arial" w:cs="Arial"/>
          <w:sz w:val="24"/>
          <w:szCs w:val="24"/>
        </w:rPr>
        <w:t>n</w:t>
      </w:r>
      <w:r w:rsidR="00F15426" w:rsidRPr="00E3547C">
        <w:rPr>
          <w:rFonts w:ascii="Arial" w:hAnsi="Arial" w:cs="Arial"/>
          <w:sz w:val="24"/>
          <w:szCs w:val="24"/>
        </w:rPr>
        <w:t xml:space="preserve"> Grundwasser</w:t>
      </w:r>
      <w:r w:rsidR="00CC15C6" w:rsidRPr="00E3547C">
        <w:rPr>
          <w:rFonts w:ascii="Arial" w:hAnsi="Arial" w:cs="Arial"/>
          <w:sz w:val="24"/>
          <w:szCs w:val="24"/>
        </w:rPr>
        <w:t>s</w:t>
      </w:r>
      <w:r w:rsidR="00F15426" w:rsidRPr="00E3547C">
        <w:rPr>
          <w:rFonts w:ascii="Arial" w:hAnsi="Arial" w:cs="Arial"/>
          <w:sz w:val="24"/>
          <w:szCs w:val="24"/>
        </w:rPr>
        <w:t xml:space="preserve"> mit der Gesteinsmatrix </w:t>
      </w:r>
      <w:r w:rsidR="00CC15C6" w:rsidRPr="00E3547C">
        <w:rPr>
          <w:rFonts w:ascii="Arial" w:hAnsi="Arial" w:cs="Arial"/>
          <w:sz w:val="24"/>
          <w:szCs w:val="24"/>
        </w:rPr>
        <w:t>nicht gegeben sind</w:t>
      </w:r>
      <w:r w:rsidR="00F15426" w:rsidRPr="00E3547C">
        <w:rPr>
          <w:rFonts w:ascii="Arial" w:hAnsi="Arial" w:cs="Arial"/>
          <w:sz w:val="24"/>
          <w:szCs w:val="24"/>
        </w:rPr>
        <w:t>.</w:t>
      </w:r>
      <w:r w:rsidR="00CC15C6" w:rsidRPr="00E3547C">
        <w:rPr>
          <w:rFonts w:ascii="Arial" w:hAnsi="Arial" w:cs="Arial"/>
          <w:sz w:val="24"/>
          <w:szCs w:val="24"/>
        </w:rPr>
        <w:t xml:space="preserve"> </w:t>
      </w:r>
      <w:r w:rsidR="00216A37" w:rsidRPr="00E3547C">
        <w:rPr>
          <w:rFonts w:ascii="Arial" w:hAnsi="Arial" w:cs="Arial"/>
          <w:sz w:val="24"/>
          <w:szCs w:val="24"/>
        </w:rPr>
        <w:t>In weit</w:t>
      </w:r>
      <w:r w:rsidR="00E3547C">
        <w:rPr>
          <w:rFonts w:ascii="Arial" w:hAnsi="Arial" w:cs="Arial"/>
          <w:sz w:val="24"/>
          <w:szCs w:val="24"/>
        </w:rPr>
        <w:t xml:space="preserve"> </w:t>
      </w:r>
      <w:r w:rsidR="00216A37" w:rsidRPr="00595CA9">
        <w:rPr>
          <w:rFonts w:ascii="Arial" w:hAnsi="Arial" w:cs="Arial"/>
          <w:sz w:val="24"/>
          <w:szCs w:val="24"/>
        </w:rPr>
        <w:t xml:space="preserve">offenen Klüften </w:t>
      </w:r>
      <w:r w:rsidR="00911349">
        <w:rPr>
          <w:rFonts w:ascii="Arial" w:hAnsi="Arial" w:cs="Arial"/>
          <w:sz w:val="24"/>
          <w:szCs w:val="24"/>
        </w:rPr>
        <w:t>(</w:t>
      </w:r>
      <w:r w:rsidR="00595CA9" w:rsidRPr="00595CA9">
        <w:rPr>
          <w:rFonts w:ascii="Arial" w:hAnsi="Arial" w:cs="Arial"/>
          <w:sz w:val="24"/>
          <w:szCs w:val="24"/>
        </w:rPr>
        <w:t>exemplarisch am Beispiel Taunuskamm, Hessen</w:t>
      </w:r>
      <w:r w:rsidR="00911349">
        <w:rPr>
          <w:rFonts w:ascii="Arial" w:hAnsi="Arial" w:cs="Arial"/>
          <w:sz w:val="24"/>
          <w:szCs w:val="24"/>
        </w:rPr>
        <w:t>)</w:t>
      </w:r>
      <w:r w:rsidR="00595CA9" w:rsidRPr="00595CA9">
        <w:rPr>
          <w:rFonts w:ascii="Arial" w:hAnsi="Arial" w:cs="Arial"/>
          <w:sz w:val="24"/>
          <w:szCs w:val="24"/>
        </w:rPr>
        <w:t xml:space="preserve"> </w:t>
      </w:r>
      <w:r w:rsidR="00216A37" w:rsidRPr="00595CA9">
        <w:rPr>
          <w:rFonts w:ascii="Arial" w:hAnsi="Arial" w:cs="Arial"/>
          <w:sz w:val="24"/>
          <w:szCs w:val="24"/>
        </w:rPr>
        <w:t xml:space="preserve">werden </w:t>
      </w:r>
      <w:r w:rsidR="00595CA9" w:rsidRPr="00595CA9">
        <w:rPr>
          <w:rFonts w:ascii="Arial" w:hAnsi="Arial" w:cs="Arial"/>
          <w:sz w:val="24"/>
          <w:szCs w:val="24"/>
        </w:rPr>
        <w:t>Abstandsg</w:t>
      </w:r>
      <w:r w:rsidR="00216A37" w:rsidRPr="00595CA9">
        <w:rPr>
          <w:rFonts w:ascii="Arial" w:hAnsi="Arial" w:cs="Arial"/>
          <w:sz w:val="24"/>
          <w:szCs w:val="24"/>
        </w:rPr>
        <w:t xml:space="preserve">eschwindigkeiten von </w:t>
      </w:r>
      <w:r w:rsidR="00595CA9" w:rsidRPr="00595CA9">
        <w:rPr>
          <w:rFonts w:ascii="Arial" w:hAnsi="Arial" w:cs="Arial"/>
          <w:sz w:val="24"/>
          <w:szCs w:val="24"/>
        </w:rPr>
        <w:t>&gt; 20 m/ Tag (</w:t>
      </w:r>
      <w:proofErr w:type="spellStart"/>
      <w:r w:rsidR="00595CA9" w:rsidRPr="00595CA9">
        <w:rPr>
          <w:rFonts w:ascii="Arial" w:hAnsi="Arial" w:cs="Arial"/>
          <w:sz w:val="24"/>
          <w:szCs w:val="24"/>
        </w:rPr>
        <w:t>Hötzl</w:t>
      </w:r>
      <w:proofErr w:type="spellEnd"/>
      <w:r w:rsidR="00595CA9" w:rsidRPr="00595CA9">
        <w:rPr>
          <w:rFonts w:ascii="Arial" w:hAnsi="Arial" w:cs="Arial"/>
          <w:sz w:val="24"/>
          <w:szCs w:val="24"/>
        </w:rPr>
        <w:t xml:space="preserve"> 2014</w:t>
      </w:r>
      <w:r w:rsidR="00C97A45">
        <w:rPr>
          <w:rFonts w:ascii="Arial" w:hAnsi="Arial" w:cs="Arial"/>
          <w:sz w:val="24"/>
          <w:szCs w:val="24"/>
        </w:rPr>
        <w:t>)</w:t>
      </w:r>
      <w:r w:rsidR="00595CA9" w:rsidRPr="00595CA9">
        <w:rPr>
          <w:rFonts w:ascii="Arial" w:hAnsi="Arial" w:cs="Arial"/>
          <w:sz w:val="24"/>
          <w:szCs w:val="24"/>
        </w:rPr>
        <w:t xml:space="preserve"> </w:t>
      </w:r>
      <w:r w:rsidR="00216A37" w:rsidRPr="00595CA9">
        <w:rPr>
          <w:rFonts w:ascii="Arial" w:hAnsi="Arial" w:cs="Arial"/>
          <w:sz w:val="24"/>
          <w:szCs w:val="24"/>
        </w:rPr>
        <w:t>erreicht.</w:t>
      </w:r>
      <w:r w:rsidR="00595CA9" w:rsidRPr="00595CA9">
        <w:rPr>
          <w:rFonts w:ascii="Arial" w:hAnsi="Arial" w:cs="Arial"/>
          <w:sz w:val="24"/>
          <w:szCs w:val="24"/>
        </w:rPr>
        <w:t xml:space="preserve"> </w:t>
      </w:r>
      <w:r w:rsidR="00CC15C6" w:rsidRPr="0060710D">
        <w:rPr>
          <w:rFonts w:ascii="Arial" w:hAnsi="Arial" w:cs="Arial"/>
          <w:sz w:val="24"/>
          <w:szCs w:val="24"/>
        </w:rPr>
        <w:t xml:space="preserve">In verkarsteten Kalksteinen ist die Fließgeschwindigkeit des Grundwassers </w:t>
      </w:r>
      <w:r w:rsidR="00677927" w:rsidRPr="0060710D">
        <w:rPr>
          <w:rFonts w:ascii="Arial" w:hAnsi="Arial" w:cs="Arial"/>
          <w:sz w:val="24"/>
          <w:szCs w:val="24"/>
        </w:rPr>
        <w:t xml:space="preserve">sogar </w:t>
      </w:r>
      <w:r w:rsidR="00CC15C6" w:rsidRPr="0060710D">
        <w:rPr>
          <w:rFonts w:ascii="Arial" w:hAnsi="Arial" w:cs="Arial"/>
          <w:sz w:val="24"/>
          <w:szCs w:val="24"/>
        </w:rPr>
        <w:t>mit der von oberirdischen Gewässern vergleichbar. Das bedeutet, dass die sog</w:t>
      </w:r>
      <w:r w:rsidR="006549DE">
        <w:rPr>
          <w:rFonts w:ascii="Arial" w:hAnsi="Arial" w:cs="Arial"/>
          <w:sz w:val="24"/>
          <w:szCs w:val="24"/>
        </w:rPr>
        <w:t>enannte</w:t>
      </w:r>
      <w:r w:rsidR="00CC15C6" w:rsidRPr="0060710D">
        <w:rPr>
          <w:rFonts w:ascii="Arial" w:hAnsi="Arial" w:cs="Arial"/>
          <w:sz w:val="24"/>
          <w:szCs w:val="24"/>
        </w:rPr>
        <w:t xml:space="preserve"> 50 Tage-Linie, die die Schutzzone II nach außen begrenzt, nicht nur 100 bis 150 m Abstand von einer Wassergewinnungsanlage haben darf, wie in den allermeisten Fällen bei deutschen Trinkwasserschutzgebieten geschehen,</w:t>
      </w:r>
      <w:r w:rsidR="00677927" w:rsidRPr="0060710D">
        <w:rPr>
          <w:rFonts w:ascii="Arial" w:hAnsi="Arial" w:cs="Arial"/>
          <w:sz w:val="24"/>
          <w:szCs w:val="24"/>
        </w:rPr>
        <w:t xml:space="preserve"> sondern speziell in Bereichen großer </w:t>
      </w:r>
      <w:proofErr w:type="spellStart"/>
      <w:r w:rsidR="00677927" w:rsidRPr="0060710D">
        <w:rPr>
          <w:rFonts w:ascii="Arial" w:hAnsi="Arial" w:cs="Arial"/>
          <w:sz w:val="24"/>
          <w:szCs w:val="24"/>
        </w:rPr>
        <w:t>Kluftdichte</w:t>
      </w:r>
      <w:proofErr w:type="spellEnd"/>
      <w:r w:rsidR="00677927" w:rsidRPr="0060710D">
        <w:rPr>
          <w:rFonts w:ascii="Arial" w:hAnsi="Arial" w:cs="Arial"/>
          <w:sz w:val="24"/>
          <w:szCs w:val="24"/>
        </w:rPr>
        <w:t xml:space="preserve"> im Nahbereich von tektonische</w:t>
      </w:r>
      <w:r w:rsidR="006549DE">
        <w:rPr>
          <w:rFonts w:ascii="Arial" w:hAnsi="Arial" w:cs="Arial"/>
          <w:sz w:val="24"/>
          <w:szCs w:val="24"/>
        </w:rPr>
        <w:t xml:space="preserve">n Schwächelinien (Störungen) u. </w:t>
      </w:r>
      <w:r w:rsidR="00677927" w:rsidRPr="0060710D">
        <w:rPr>
          <w:rFonts w:ascii="Arial" w:hAnsi="Arial" w:cs="Arial"/>
          <w:sz w:val="24"/>
          <w:szCs w:val="24"/>
        </w:rPr>
        <w:t xml:space="preserve">U. einige Kilometer, in Karstgebieten noch mehr haben muss. </w:t>
      </w:r>
      <w:r w:rsidR="005A276D" w:rsidRPr="0060710D">
        <w:rPr>
          <w:rFonts w:ascii="Arial" w:hAnsi="Arial" w:cs="Arial"/>
          <w:sz w:val="24"/>
          <w:szCs w:val="24"/>
        </w:rPr>
        <w:t xml:space="preserve">Das durch Fließrichtung und Abstandsgeschwindigkeit des Grundwassers charakterisierte und durch die tektonische Beanspruchung der Gesteine gesteuerte Grundwasserströmungsfeld, das Abmessung und Konfiguration speziell der Schutzzone II, in der Einrichtung und Betrieb von Windkraftanlagen unzulässig sind, vorgibt, spiegelt sich in früher praktizierten Herangehensweisen wie insbesondere den </w:t>
      </w:r>
      <w:proofErr w:type="spellStart"/>
      <w:r w:rsidR="005A276D" w:rsidRPr="0060710D">
        <w:rPr>
          <w:rFonts w:ascii="Arial" w:hAnsi="Arial" w:cs="Arial"/>
          <w:sz w:val="24"/>
          <w:szCs w:val="24"/>
        </w:rPr>
        <w:t>unklassifizierten</w:t>
      </w:r>
      <w:proofErr w:type="spellEnd"/>
      <w:r w:rsidR="005A276D" w:rsidRPr="0060710D">
        <w:rPr>
          <w:rFonts w:ascii="Arial" w:hAnsi="Arial" w:cs="Arial"/>
          <w:sz w:val="24"/>
          <w:szCs w:val="24"/>
        </w:rPr>
        <w:t xml:space="preserve"> und eher subjektiv beurteilten „Untergrundverhältnissen“ (= mehr oder weniger Schutzwirkung der sog</w:t>
      </w:r>
      <w:r w:rsidR="006549DE">
        <w:rPr>
          <w:rFonts w:ascii="Arial" w:hAnsi="Arial" w:cs="Arial"/>
          <w:sz w:val="24"/>
          <w:szCs w:val="24"/>
        </w:rPr>
        <w:t>enannten</w:t>
      </w:r>
      <w:r w:rsidR="005A276D" w:rsidRPr="0060710D">
        <w:rPr>
          <w:rFonts w:ascii="Arial" w:hAnsi="Arial" w:cs="Arial"/>
          <w:sz w:val="24"/>
          <w:szCs w:val="24"/>
        </w:rPr>
        <w:t xml:space="preserve"> Deckschichten oberhalb des Grundwasserspiegels) dagegen nicht wider.</w:t>
      </w:r>
    </w:p>
    <w:p w:rsidR="00327A04" w:rsidRDefault="009708B0" w:rsidP="00717AB1">
      <w:pPr>
        <w:rPr>
          <w:rFonts w:ascii="Arial" w:hAnsi="Arial" w:cs="Arial"/>
          <w:sz w:val="24"/>
          <w:szCs w:val="24"/>
        </w:rPr>
      </w:pPr>
      <w:r w:rsidRPr="00B93D8E">
        <w:rPr>
          <w:rFonts w:ascii="Arial" w:hAnsi="Arial" w:cs="Arial"/>
          <w:sz w:val="24"/>
          <w:szCs w:val="24"/>
        </w:rPr>
        <w:t>Die aus SiO</w:t>
      </w:r>
      <w:r w:rsidRPr="00B93D8E">
        <w:rPr>
          <w:rFonts w:ascii="Arial" w:hAnsi="Arial" w:cs="Arial"/>
          <w:sz w:val="24"/>
          <w:szCs w:val="24"/>
          <w:vertAlign w:val="subscript"/>
        </w:rPr>
        <w:t>2</w:t>
      </w:r>
      <w:r w:rsidRPr="00B93D8E">
        <w:rPr>
          <w:rFonts w:ascii="Arial" w:hAnsi="Arial" w:cs="Arial"/>
          <w:sz w:val="24"/>
          <w:szCs w:val="24"/>
        </w:rPr>
        <w:t>-reichen Gesteinen (Gneis</w:t>
      </w:r>
      <w:r w:rsidR="002565C5" w:rsidRPr="00B93D8E">
        <w:rPr>
          <w:rFonts w:ascii="Arial" w:hAnsi="Arial" w:cs="Arial"/>
          <w:sz w:val="24"/>
          <w:szCs w:val="24"/>
        </w:rPr>
        <w:t xml:space="preserve">e, Granite, Quarzite, Sandsteine) hervorgegangenen Böden </w:t>
      </w:r>
      <w:r w:rsidR="006F6728" w:rsidRPr="00B93D8E">
        <w:rPr>
          <w:rFonts w:ascii="Arial" w:hAnsi="Arial" w:cs="Arial"/>
          <w:sz w:val="24"/>
          <w:szCs w:val="24"/>
        </w:rPr>
        <w:t xml:space="preserve">in vielen deutschen Mittelgebirgen </w:t>
      </w:r>
      <w:r w:rsidR="002565C5" w:rsidRPr="00B93D8E">
        <w:rPr>
          <w:rFonts w:ascii="Arial" w:hAnsi="Arial" w:cs="Arial"/>
          <w:sz w:val="24"/>
          <w:szCs w:val="24"/>
        </w:rPr>
        <w:t>sind wenig ertragreich. Sie werden daher in der Regel nicht landwirtschaftlich genutzt, sondern sind bevorzugt Waldstandorte. Da die Gesteine</w:t>
      </w:r>
      <w:r w:rsidR="008554DA">
        <w:rPr>
          <w:rFonts w:ascii="Arial" w:hAnsi="Arial" w:cs="Arial"/>
          <w:sz w:val="24"/>
          <w:szCs w:val="24"/>
        </w:rPr>
        <w:t>,</w:t>
      </w:r>
      <w:r w:rsidR="002565C5" w:rsidRPr="00B93D8E">
        <w:rPr>
          <w:rFonts w:ascii="Arial" w:hAnsi="Arial" w:cs="Arial"/>
          <w:sz w:val="24"/>
          <w:szCs w:val="24"/>
        </w:rPr>
        <w:t xml:space="preserve"> wie </w:t>
      </w:r>
      <w:r w:rsidR="008554DA">
        <w:rPr>
          <w:rFonts w:ascii="Arial" w:hAnsi="Arial" w:cs="Arial"/>
          <w:sz w:val="24"/>
          <w:szCs w:val="24"/>
        </w:rPr>
        <w:t>bereits</w:t>
      </w:r>
      <w:r w:rsidR="002565C5" w:rsidRPr="00B93D8E">
        <w:rPr>
          <w:rFonts w:ascii="Arial" w:hAnsi="Arial" w:cs="Arial"/>
          <w:sz w:val="24"/>
          <w:szCs w:val="24"/>
        </w:rPr>
        <w:t xml:space="preserve"> ausgeführt</w:t>
      </w:r>
      <w:r w:rsidR="008554DA">
        <w:rPr>
          <w:rFonts w:ascii="Arial" w:hAnsi="Arial" w:cs="Arial"/>
          <w:sz w:val="24"/>
          <w:szCs w:val="24"/>
        </w:rPr>
        <w:t>,</w:t>
      </w:r>
      <w:r w:rsidR="002565C5" w:rsidRPr="00B93D8E">
        <w:rPr>
          <w:rFonts w:ascii="Arial" w:hAnsi="Arial" w:cs="Arial"/>
          <w:sz w:val="24"/>
          <w:szCs w:val="24"/>
        </w:rPr>
        <w:t xml:space="preserve"> dem in ihnen zirkulierendem Grundwasser wenig Schutz gegenüber Eintrag von Schadstoffen von der Oberfläche her bieten, ist auf diesen Flächen Waldbestockung zusammen mit intakten Böden unverzichtbar. Wald ist hier der bestmögliche Grundwasserschutz. </w:t>
      </w:r>
      <w:r w:rsidR="00762D15" w:rsidRPr="00B93D8E">
        <w:rPr>
          <w:rFonts w:ascii="Arial" w:hAnsi="Arial" w:cs="Arial"/>
          <w:sz w:val="24"/>
          <w:szCs w:val="24"/>
        </w:rPr>
        <w:t xml:space="preserve">Bei Kahlschlägen im Wald führt die stärkere Belichtung des Waldbodens zu einer vermehrten Aktivität des Edaphons mit der eine schnellere Mineralisierung der postmortalen organischen Substanz einhergeht. Durch diese Überschuss-Mineralisierung und die bakterielle Oxidation von Ammonium zu Nitrat (Nitrifikation) erhöht sich die Gefahr einer Nitratauswaschung ins Grund- und somit in das Trinkwasser. Nach </w:t>
      </w:r>
      <w:r w:rsidR="00C34F23" w:rsidRPr="00B93D8E">
        <w:rPr>
          <w:rFonts w:ascii="Arial" w:hAnsi="Arial" w:cs="Arial"/>
          <w:sz w:val="24"/>
          <w:szCs w:val="24"/>
        </w:rPr>
        <w:t xml:space="preserve">Ausführungen von Willibald Hofmann, dem ehemaligen Vorsitzenden des Wasserzweckverbandes </w:t>
      </w:r>
      <w:proofErr w:type="spellStart"/>
      <w:r w:rsidR="00C34F23" w:rsidRPr="00B93D8E">
        <w:rPr>
          <w:rFonts w:ascii="Arial" w:hAnsi="Arial" w:cs="Arial"/>
          <w:sz w:val="24"/>
          <w:szCs w:val="24"/>
        </w:rPr>
        <w:t>Vorbacher</w:t>
      </w:r>
      <w:proofErr w:type="spellEnd"/>
      <w:r w:rsidR="00C34F23" w:rsidRPr="00B93D8E">
        <w:rPr>
          <w:rFonts w:ascii="Arial" w:hAnsi="Arial" w:cs="Arial"/>
          <w:sz w:val="24"/>
          <w:szCs w:val="24"/>
        </w:rPr>
        <w:t xml:space="preserve"> Gruppe, sind Kahlschläge bereits ab 1000 Quadratmetern Fläche </w:t>
      </w:r>
      <w:r w:rsidR="008A527B">
        <w:rPr>
          <w:rFonts w:ascii="Arial" w:hAnsi="Arial" w:cs="Arial"/>
          <w:sz w:val="24"/>
          <w:szCs w:val="24"/>
        </w:rPr>
        <w:t xml:space="preserve">(= Kleinkahlschläge) </w:t>
      </w:r>
      <w:r w:rsidR="00C34F23" w:rsidRPr="00B93D8E">
        <w:rPr>
          <w:rFonts w:ascii="Arial" w:hAnsi="Arial" w:cs="Arial"/>
          <w:sz w:val="24"/>
          <w:szCs w:val="24"/>
        </w:rPr>
        <w:t>als sehr problematisch zu beurteilen. (</w:t>
      </w:r>
      <w:r w:rsidR="009245AF" w:rsidRPr="00B93D8E">
        <w:rPr>
          <w:rFonts w:ascii="Arial" w:hAnsi="Arial" w:cs="Arial"/>
          <w:sz w:val="24"/>
          <w:szCs w:val="24"/>
        </w:rPr>
        <w:t>Quelle: Oberpfalznetz.de</w:t>
      </w:r>
      <w:r w:rsidR="00C34F23" w:rsidRPr="00B93D8E">
        <w:rPr>
          <w:rFonts w:ascii="Arial" w:hAnsi="Arial" w:cs="Arial"/>
          <w:sz w:val="24"/>
          <w:szCs w:val="24"/>
        </w:rPr>
        <w:t xml:space="preserve"> vom 24.01.2004, gesehen am 22.05.2015). </w:t>
      </w:r>
      <w:r w:rsidR="00762D15" w:rsidRPr="00B93D8E">
        <w:rPr>
          <w:rFonts w:ascii="Arial" w:hAnsi="Arial" w:cs="Arial"/>
          <w:sz w:val="24"/>
          <w:szCs w:val="24"/>
        </w:rPr>
        <w:t>Im Körper des Menschen wird Nitrat in Nitrit und in Nitrosamine umgewandelt, deren weitere Zerfallsprodukte derzeit von der medizinischen Fachwelt als kanzerogene Substanzen</w:t>
      </w:r>
      <w:r w:rsidR="003E7414">
        <w:rPr>
          <w:rFonts w:ascii="Arial" w:hAnsi="Arial" w:cs="Arial"/>
          <w:sz w:val="24"/>
          <w:szCs w:val="24"/>
        </w:rPr>
        <w:t xml:space="preserve"> </w:t>
      </w:r>
      <w:r w:rsidR="00762D15" w:rsidRPr="00B93D8E">
        <w:rPr>
          <w:rFonts w:ascii="Arial" w:hAnsi="Arial" w:cs="Arial"/>
          <w:sz w:val="24"/>
          <w:szCs w:val="24"/>
        </w:rPr>
        <w:t>eingestuft werden</w:t>
      </w:r>
      <w:r w:rsidR="00DC5AEC">
        <w:rPr>
          <w:rFonts w:ascii="Arial" w:hAnsi="Arial" w:cs="Arial"/>
          <w:sz w:val="24"/>
          <w:szCs w:val="24"/>
        </w:rPr>
        <w:t>. Bei</w:t>
      </w:r>
      <w:r w:rsidR="00FB6661">
        <w:rPr>
          <w:rFonts w:ascii="Arial" w:hAnsi="Arial" w:cs="Arial"/>
          <w:sz w:val="24"/>
          <w:szCs w:val="24"/>
        </w:rPr>
        <w:t xml:space="preserve"> Säuglingen </w:t>
      </w:r>
      <w:r w:rsidR="00DC5AEC">
        <w:rPr>
          <w:rFonts w:ascii="Arial" w:hAnsi="Arial" w:cs="Arial"/>
          <w:sz w:val="24"/>
          <w:szCs w:val="24"/>
        </w:rPr>
        <w:t xml:space="preserve">können sie </w:t>
      </w:r>
      <w:r w:rsidR="00FB6661">
        <w:rPr>
          <w:rFonts w:ascii="Arial" w:hAnsi="Arial" w:cs="Arial"/>
          <w:sz w:val="24"/>
          <w:szCs w:val="24"/>
        </w:rPr>
        <w:t xml:space="preserve">zur </w:t>
      </w:r>
      <w:r w:rsidR="00FB6661" w:rsidRPr="00FB6661">
        <w:rPr>
          <w:rFonts w:ascii="Arial" w:hAnsi="Arial" w:cs="Arial"/>
          <w:sz w:val="24"/>
          <w:szCs w:val="24"/>
        </w:rPr>
        <w:t>inneren Erstickung</w:t>
      </w:r>
      <w:r w:rsidR="00FB6661">
        <w:rPr>
          <w:rFonts w:ascii="Arial" w:hAnsi="Arial" w:cs="Arial"/>
          <w:sz w:val="24"/>
          <w:szCs w:val="24"/>
        </w:rPr>
        <w:t xml:space="preserve"> führen </w:t>
      </w:r>
      <w:r w:rsidR="003E7414">
        <w:rPr>
          <w:rFonts w:ascii="Arial" w:hAnsi="Arial" w:cs="Arial"/>
          <w:sz w:val="24"/>
          <w:szCs w:val="24"/>
        </w:rPr>
        <w:t>[</w:t>
      </w:r>
      <w:r w:rsidR="00FB6661">
        <w:rPr>
          <w:rFonts w:ascii="Arial" w:hAnsi="Arial" w:cs="Arial"/>
          <w:sz w:val="24"/>
          <w:szCs w:val="24"/>
        </w:rPr>
        <w:t>(</w:t>
      </w:r>
      <w:r w:rsidR="00FB6661" w:rsidRPr="00FB6661">
        <w:rPr>
          <w:rFonts w:ascii="Arial" w:hAnsi="Arial" w:cs="Arial"/>
          <w:sz w:val="24"/>
          <w:szCs w:val="24"/>
        </w:rPr>
        <w:t>Blausucht durch Zyanose (</w:t>
      </w:r>
      <w:proofErr w:type="spellStart"/>
      <w:r w:rsidR="00FB6661" w:rsidRPr="00FB6661">
        <w:rPr>
          <w:rFonts w:ascii="Arial" w:hAnsi="Arial" w:cs="Arial"/>
          <w:sz w:val="24"/>
          <w:szCs w:val="24"/>
        </w:rPr>
        <w:t>Methämoglobinämie</w:t>
      </w:r>
      <w:proofErr w:type="spellEnd"/>
      <w:r w:rsidR="00FB6661" w:rsidRPr="00FB6661">
        <w:rPr>
          <w:rFonts w:ascii="Arial" w:hAnsi="Arial" w:cs="Arial"/>
          <w:sz w:val="24"/>
          <w:szCs w:val="24"/>
        </w:rPr>
        <w:t>)</w:t>
      </w:r>
      <w:r w:rsidR="003E7414">
        <w:rPr>
          <w:rFonts w:ascii="Arial" w:hAnsi="Arial" w:cs="Arial"/>
          <w:sz w:val="24"/>
          <w:szCs w:val="24"/>
        </w:rPr>
        <w:t>]</w:t>
      </w:r>
      <w:r w:rsidR="00FB6661" w:rsidRPr="00FB6661">
        <w:rPr>
          <w:rFonts w:ascii="Arial" w:hAnsi="Arial" w:cs="Arial"/>
          <w:sz w:val="24"/>
          <w:szCs w:val="24"/>
        </w:rPr>
        <w:t>.</w:t>
      </w:r>
      <w:r w:rsidR="003B0560">
        <w:rPr>
          <w:rFonts w:ascii="Arial" w:hAnsi="Arial" w:cs="Arial"/>
          <w:sz w:val="24"/>
          <w:szCs w:val="24"/>
        </w:rPr>
        <w:t xml:space="preserve"> </w:t>
      </w:r>
      <w:r w:rsidR="004B59DA">
        <w:rPr>
          <w:rFonts w:ascii="Arial" w:hAnsi="Arial" w:cs="Arial"/>
          <w:sz w:val="24"/>
          <w:szCs w:val="24"/>
        </w:rPr>
        <w:t xml:space="preserve">Zitat von </w:t>
      </w:r>
      <w:r w:rsidR="00717AB1" w:rsidRPr="00717AB1">
        <w:rPr>
          <w:rFonts w:ascii="Arial" w:hAnsi="Arial" w:cs="Arial"/>
          <w:sz w:val="24"/>
          <w:szCs w:val="24"/>
        </w:rPr>
        <w:t xml:space="preserve">Michael </w:t>
      </w:r>
      <w:proofErr w:type="spellStart"/>
      <w:r w:rsidR="00717AB1" w:rsidRPr="00717AB1">
        <w:rPr>
          <w:rFonts w:ascii="Arial" w:hAnsi="Arial" w:cs="Arial"/>
          <w:sz w:val="24"/>
          <w:szCs w:val="24"/>
        </w:rPr>
        <w:t>Gerst</w:t>
      </w:r>
      <w:proofErr w:type="spellEnd"/>
      <w:r w:rsidR="00717AB1">
        <w:rPr>
          <w:rFonts w:ascii="Arial" w:hAnsi="Arial" w:cs="Arial"/>
          <w:sz w:val="24"/>
          <w:szCs w:val="24"/>
        </w:rPr>
        <w:t>,</w:t>
      </w:r>
      <w:r w:rsidR="00717AB1" w:rsidRPr="00717AB1">
        <w:rPr>
          <w:rFonts w:ascii="Arial" w:hAnsi="Arial" w:cs="Arial"/>
          <w:sz w:val="24"/>
          <w:szCs w:val="24"/>
        </w:rPr>
        <w:t xml:space="preserve"> Leiter </w:t>
      </w:r>
      <w:r w:rsidR="00717AB1">
        <w:rPr>
          <w:rFonts w:ascii="Arial" w:hAnsi="Arial" w:cs="Arial"/>
          <w:sz w:val="24"/>
          <w:szCs w:val="24"/>
        </w:rPr>
        <w:t>des L</w:t>
      </w:r>
      <w:r w:rsidR="00717AB1" w:rsidRPr="00717AB1">
        <w:rPr>
          <w:rFonts w:ascii="Arial" w:hAnsi="Arial" w:cs="Arial"/>
          <w:sz w:val="24"/>
          <w:szCs w:val="24"/>
        </w:rPr>
        <w:t>andesbetriebs Hessen-Forst</w:t>
      </w:r>
      <w:r w:rsidR="00717AB1">
        <w:rPr>
          <w:rFonts w:ascii="Arial" w:hAnsi="Arial" w:cs="Arial"/>
          <w:sz w:val="24"/>
          <w:szCs w:val="24"/>
        </w:rPr>
        <w:t xml:space="preserve"> (schriftliche Mitteilung vom 23.04.2015)</w:t>
      </w:r>
      <w:r w:rsidR="00327A04" w:rsidRPr="00327A04">
        <w:rPr>
          <w:rFonts w:ascii="Arial" w:hAnsi="Arial" w:cs="Arial"/>
          <w:sz w:val="24"/>
          <w:szCs w:val="24"/>
        </w:rPr>
        <w:t xml:space="preserve">: „Kahlschläge fördern durch die direkte Sonneneinstrahlung eine rasche Mineralisierung der Humusauflage. Die freigesetzten Nährstoffe können von der </w:t>
      </w:r>
      <w:r w:rsidR="00327A04" w:rsidRPr="00327A04">
        <w:rPr>
          <w:rFonts w:ascii="Arial" w:hAnsi="Arial" w:cs="Arial"/>
          <w:sz w:val="24"/>
          <w:szCs w:val="24"/>
        </w:rPr>
        <w:lastRenderedPageBreak/>
        <w:t>folgenden Waldgeneration nicht schnell genug aufgenommen werden und es kommt zur unwiederbringlichen Auswaschung dieser aus dem Nährstoffkreislauf. Die Vermeidung der Auswaschung von Stickstoff in Form von Nitraten erhält die Bodenfruchtbarkeit und Grundwasserqualität. Aus Nitraten können durch Reduktion gesundheitsschädliche Nitrite entstehen.“</w:t>
      </w:r>
    </w:p>
    <w:p w:rsidR="00F267B6" w:rsidRPr="00B93D8E" w:rsidRDefault="00762D15" w:rsidP="00B93D8E">
      <w:pPr>
        <w:rPr>
          <w:rFonts w:ascii="Arial" w:hAnsi="Arial" w:cs="Arial"/>
          <w:sz w:val="24"/>
          <w:szCs w:val="24"/>
        </w:rPr>
      </w:pPr>
      <w:r w:rsidRPr="00B93D8E">
        <w:rPr>
          <w:rFonts w:ascii="Arial" w:hAnsi="Arial" w:cs="Arial"/>
          <w:sz w:val="24"/>
          <w:szCs w:val="24"/>
        </w:rPr>
        <w:t>Bei der Errichtung von Windkraftanlagen (WKA) im Wald kommt es zu weitreichenden Rodungen. Dabei werden im Anschluss nicht nur der gerodete Bereich, sondern auch die unmittelbar daran angrenzenden Waldareale über relativ große Strecken stärker belichtet. Bei der Errichtung eines Windparks mit z. B. zehn WKA muss pro Standort mit einer Kahlschlagfläche (Standort, Lagerflächen, Zuwege) von einem Hektar ausgegangen werden</w:t>
      </w:r>
      <w:r w:rsidR="008A527B">
        <w:rPr>
          <w:rFonts w:ascii="Arial" w:hAnsi="Arial" w:cs="Arial"/>
          <w:sz w:val="24"/>
          <w:szCs w:val="24"/>
        </w:rPr>
        <w:t xml:space="preserve"> (= 10 ha)</w:t>
      </w:r>
      <w:r w:rsidRPr="00B93D8E">
        <w:rPr>
          <w:rFonts w:ascii="Arial" w:hAnsi="Arial" w:cs="Arial"/>
          <w:sz w:val="24"/>
          <w:szCs w:val="24"/>
        </w:rPr>
        <w:t xml:space="preserve">. Dadurch würden vier Kilometer freigelegter Waldrand </w:t>
      </w:r>
      <w:r w:rsidR="005535BC">
        <w:rPr>
          <w:rFonts w:ascii="Arial" w:hAnsi="Arial" w:cs="Arial"/>
          <w:sz w:val="24"/>
          <w:szCs w:val="24"/>
        </w:rPr>
        <w:t xml:space="preserve">mit mehreren Dekametern in den Bestand hinein </w:t>
      </w:r>
      <w:r w:rsidRPr="00B93D8E">
        <w:rPr>
          <w:rFonts w:ascii="Arial" w:hAnsi="Arial" w:cs="Arial"/>
          <w:sz w:val="24"/>
          <w:szCs w:val="24"/>
        </w:rPr>
        <w:t>stärker belichtet und einer erhöhten Mine</w:t>
      </w:r>
      <w:r w:rsidR="005535BC">
        <w:rPr>
          <w:rFonts w:ascii="Arial" w:hAnsi="Arial" w:cs="Arial"/>
          <w:sz w:val="24"/>
          <w:szCs w:val="24"/>
        </w:rPr>
        <w:t>ralisierung ausgesetzt.</w:t>
      </w:r>
    </w:p>
    <w:p w:rsidR="00911349" w:rsidRDefault="003509F7" w:rsidP="00911349">
      <w:pPr>
        <w:rPr>
          <w:rFonts w:ascii="Arial" w:hAnsi="Arial" w:cs="Arial"/>
          <w:sz w:val="24"/>
          <w:szCs w:val="24"/>
        </w:rPr>
      </w:pPr>
      <w:r>
        <w:rPr>
          <w:rFonts w:ascii="Arial" w:hAnsi="Arial" w:cs="Arial"/>
          <w:sz w:val="24"/>
          <w:szCs w:val="24"/>
        </w:rPr>
        <w:t xml:space="preserve">Wir fordern aus diesen </w:t>
      </w:r>
      <w:r w:rsidR="00263002">
        <w:rPr>
          <w:rFonts w:ascii="Arial" w:hAnsi="Arial" w:cs="Arial"/>
          <w:sz w:val="24"/>
          <w:szCs w:val="24"/>
        </w:rPr>
        <w:t xml:space="preserve">äußerst </w:t>
      </w:r>
      <w:r>
        <w:rPr>
          <w:rFonts w:ascii="Arial" w:hAnsi="Arial" w:cs="Arial"/>
          <w:sz w:val="24"/>
          <w:szCs w:val="24"/>
        </w:rPr>
        <w:t>schwerwiegenden Gründen</w:t>
      </w:r>
      <w:r w:rsidR="00B96584">
        <w:rPr>
          <w:rFonts w:ascii="Arial" w:hAnsi="Arial" w:cs="Arial"/>
          <w:sz w:val="24"/>
          <w:szCs w:val="24"/>
        </w:rPr>
        <w:t xml:space="preserve">, welche die Gesundheit der Bürgerinnen und Bürger </w:t>
      </w:r>
      <w:r w:rsidR="00986D44">
        <w:rPr>
          <w:rFonts w:ascii="Arial" w:hAnsi="Arial" w:cs="Arial"/>
          <w:sz w:val="24"/>
          <w:szCs w:val="24"/>
        </w:rPr>
        <w:t xml:space="preserve">potentiell </w:t>
      </w:r>
      <w:r w:rsidR="00B96584">
        <w:rPr>
          <w:rFonts w:ascii="Arial" w:hAnsi="Arial" w:cs="Arial"/>
          <w:sz w:val="24"/>
          <w:szCs w:val="24"/>
        </w:rPr>
        <w:t>gefährden,</w:t>
      </w:r>
      <w:r w:rsidRPr="003509F7">
        <w:rPr>
          <w:rFonts w:ascii="Arial" w:hAnsi="Arial" w:cs="Arial"/>
          <w:sz w:val="24"/>
          <w:szCs w:val="24"/>
        </w:rPr>
        <w:t xml:space="preserve"> </w:t>
      </w:r>
      <w:r w:rsidRPr="00911349">
        <w:rPr>
          <w:rFonts w:ascii="Arial" w:hAnsi="Arial" w:cs="Arial"/>
          <w:sz w:val="24"/>
          <w:szCs w:val="24"/>
        </w:rPr>
        <w:t xml:space="preserve">die schon lange überfällige Revision der </w:t>
      </w:r>
      <w:r w:rsidR="00263002">
        <w:rPr>
          <w:rFonts w:ascii="Arial" w:hAnsi="Arial" w:cs="Arial"/>
          <w:sz w:val="24"/>
          <w:szCs w:val="24"/>
        </w:rPr>
        <w:t>Wassers</w:t>
      </w:r>
      <w:r w:rsidRPr="00911349">
        <w:rPr>
          <w:rFonts w:ascii="Arial" w:hAnsi="Arial" w:cs="Arial"/>
          <w:sz w:val="24"/>
          <w:szCs w:val="24"/>
        </w:rPr>
        <w:t xml:space="preserve">chutzgebiete </w:t>
      </w:r>
      <w:r w:rsidR="00263002">
        <w:rPr>
          <w:rFonts w:ascii="Arial" w:hAnsi="Arial" w:cs="Arial"/>
          <w:sz w:val="24"/>
          <w:szCs w:val="24"/>
        </w:rPr>
        <w:t xml:space="preserve">und deren Zonen </w:t>
      </w:r>
      <w:r w:rsidRPr="00911349">
        <w:rPr>
          <w:rFonts w:ascii="Arial" w:hAnsi="Arial" w:cs="Arial"/>
          <w:sz w:val="24"/>
          <w:szCs w:val="24"/>
        </w:rPr>
        <w:t xml:space="preserve">nach dem </w:t>
      </w:r>
      <w:r w:rsidR="00CB5C63">
        <w:rPr>
          <w:rFonts w:ascii="Arial" w:hAnsi="Arial" w:cs="Arial"/>
          <w:sz w:val="24"/>
          <w:szCs w:val="24"/>
        </w:rPr>
        <w:t xml:space="preserve">aktuellen </w:t>
      </w:r>
      <w:r w:rsidRPr="00911349">
        <w:rPr>
          <w:rFonts w:ascii="Arial" w:hAnsi="Arial" w:cs="Arial"/>
          <w:sz w:val="24"/>
          <w:szCs w:val="24"/>
        </w:rPr>
        <w:t xml:space="preserve">Stand der Technik </w:t>
      </w:r>
      <w:r w:rsidR="00CB5C63">
        <w:rPr>
          <w:rFonts w:ascii="Arial" w:hAnsi="Arial" w:cs="Arial"/>
          <w:sz w:val="24"/>
          <w:szCs w:val="24"/>
        </w:rPr>
        <w:t xml:space="preserve">insbesondere </w:t>
      </w:r>
      <w:r>
        <w:rPr>
          <w:rFonts w:ascii="Arial" w:hAnsi="Arial" w:cs="Arial"/>
          <w:sz w:val="24"/>
          <w:szCs w:val="24"/>
        </w:rPr>
        <w:t xml:space="preserve">unter </w:t>
      </w:r>
      <w:r w:rsidRPr="00911349">
        <w:rPr>
          <w:rFonts w:ascii="Arial" w:hAnsi="Arial" w:cs="Arial"/>
          <w:sz w:val="24"/>
          <w:szCs w:val="24"/>
        </w:rPr>
        <w:t>geohydraulischen Kriterien</w:t>
      </w:r>
      <w:r w:rsidR="001D330E">
        <w:rPr>
          <w:rFonts w:ascii="Arial" w:hAnsi="Arial" w:cs="Arial"/>
          <w:sz w:val="24"/>
          <w:szCs w:val="24"/>
        </w:rPr>
        <w:t xml:space="preserve"> sowie die Unterlassung von Kahlschlägen in Trinkwasserschutzgebieten</w:t>
      </w:r>
      <w:r w:rsidR="00462D65">
        <w:rPr>
          <w:rFonts w:ascii="Arial" w:hAnsi="Arial" w:cs="Arial"/>
          <w:sz w:val="24"/>
          <w:szCs w:val="24"/>
        </w:rPr>
        <w:t xml:space="preserve"> der Zonen </w:t>
      </w:r>
      <w:r w:rsidR="008A527B">
        <w:rPr>
          <w:rFonts w:ascii="Arial" w:hAnsi="Arial" w:cs="Arial"/>
          <w:sz w:val="24"/>
          <w:szCs w:val="24"/>
        </w:rPr>
        <w:t>I</w:t>
      </w:r>
      <w:r w:rsidR="00462D65">
        <w:rPr>
          <w:rFonts w:ascii="Arial" w:hAnsi="Arial" w:cs="Arial"/>
          <w:sz w:val="24"/>
          <w:szCs w:val="24"/>
        </w:rPr>
        <w:t>, II und III</w:t>
      </w:r>
      <w:r w:rsidR="00602599">
        <w:rPr>
          <w:rFonts w:ascii="Arial" w:hAnsi="Arial" w:cs="Arial"/>
          <w:sz w:val="24"/>
          <w:szCs w:val="24"/>
        </w:rPr>
        <w:t xml:space="preserve"> hinsichtlich der Nitratproblematik</w:t>
      </w:r>
      <w:r w:rsidR="001D330E">
        <w:rPr>
          <w:rFonts w:ascii="Arial" w:hAnsi="Arial" w:cs="Arial"/>
          <w:sz w:val="24"/>
          <w:szCs w:val="24"/>
        </w:rPr>
        <w:t>.</w:t>
      </w:r>
    </w:p>
    <w:sectPr w:rsidR="009113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7B70"/>
    <w:multiLevelType w:val="hybridMultilevel"/>
    <w:tmpl w:val="2A545D36"/>
    <w:lvl w:ilvl="0" w:tplc="07C8FB58">
      <w:numFmt w:val="bullet"/>
      <w:lvlText w:val=""/>
      <w:lvlJc w:val="left"/>
      <w:pPr>
        <w:ind w:left="1068" w:hanging="360"/>
      </w:pPr>
      <w:rPr>
        <w:rFonts w:ascii="Wingdings" w:eastAsiaTheme="minorHAnsi"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8FA070B"/>
    <w:multiLevelType w:val="hybridMultilevel"/>
    <w:tmpl w:val="A0CC34C0"/>
    <w:lvl w:ilvl="0" w:tplc="0CF6A24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1D"/>
    <w:rsid w:val="00013353"/>
    <w:rsid w:val="0001682E"/>
    <w:rsid w:val="000C613B"/>
    <w:rsid w:val="000C71A5"/>
    <w:rsid w:val="00115ACA"/>
    <w:rsid w:val="001D330E"/>
    <w:rsid w:val="001F2B4B"/>
    <w:rsid w:val="001F74CB"/>
    <w:rsid w:val="00204270"/>
    <w:rsid w:val="00216A37"/>
    <w:rsid w:val="002565C5"/>
    <w:rsid w:val="00263002"/>
    <w:rsid w:val="00277F65"/>
    <w:rsid w:val="003026A0"/>
    <w:rsid w:val="00321984"/>
    <w:rsid w:val="00327A04"/>
    <w:rsid w:val="0034266B"/>
    <w:rsid w:val="003440E5"/>
    <w:rsid w:val="00347EF6"/>
    <w:rsid w:val="003509F7"/>
    <w:rsid w:val="00355709"/>
    <w:rsid w:val="00360606"/>
    <w:rsid w:val="003809C4"/>
    <w:rsid w:val="003B0560"/>
    <w:rsid w:val="003E0B3D"/>
    <w:rsid w:val="003E7414"/>
    <w:rsid w:val="00402174"/>
    <w:rsid w:val="00424D5E"/>
    <w:rsid w:val="00425A15"/>
    <w:rsid w:val="004611B0"/>
    <w:rsid w:val="00462D65"/>
    <w:rsid w:val="00472CF6"/>
    <w:rsid w:val="004B59DA"/>
    <w:rsid w:val="004E70C7"/>
    <w:rsid w:val="00502254"/>
    <w:rsid w:val="00527C9E"/>
    <w:rsid w:val="005535BC"/>
    <w:rsid w:val="00595CA9"/>
    <w:rsid w:val="005A0F93"/>
    <w:rsid w:val="005A276D"/>
    <w:rsid w:val="005C4556"/>
    <w:rsid w:val="005C48CC"/>
    <w:rsid w:val="00602599"/>
    <w:rsid w:val="0060710D"/>
    <w:rsid w:val="00634149"/>
    <w:rsid w:val="0064594C"/>
    <w:rsid w:val="006467C9"/>
    <w:rsid w:val="006549DE"/>
    <w:rsid w:val="00677927"/>
    <w:rsid w:val="00690495"/>
    <w:rsid w:val="006C00F8"/>
    <w:rsid w:val="006D1EA8"/>
    <w:rsid w:val="006F6728"/>
    <w:rsid w:val="00717AB1"/>
    <w:rsid w:val="00722231"/>
    <w:rsid w:val="00747AED"/>
    <w:rsid w:val="00762D15"/>
    <w:rsid w:val="008554DA"/>
    <w:rsid w:val="00856CD5"/>
    <w:rsid w:val="00862B83"/>
    <w:rsid w:val="008722A0"/>
    <w:rsid w:val="008A527B"/>
    <w:rsid w:val="008C55C2"/>
    <w:rsid w:val="008D050A"/>
    <w:rsid w:val="0090521C"/>
    <w:rsid w:val="00911349"/>
    <w:rsid w:val="009245AF"/>
    <w:rsid w:val="00930418"/>
    <w:rsid w:val="009365EA"/>
    <w:rsid w:val="009708B0"/>
    <w:rsid w:val="00986D44"/>
    <w:rsid w:val="00994845"/>
    <w:rsid w:val="009D005E"/>
    <w:rsid w:val="009D364E"/>
    <w:rsid w:val="00A266E6"/>
    <w:rsid w:val="00A45D25"/>
    <w:rsid w:val="00A658FE"/>
    <w:rsid w:val="00A70361"/>
    <w:rsid w:val="00AE25F3"/>
    <w:rsid w:val="00AF3C17"/>
    <w:rsid w:val="00B14101"/>
    <w:rsid w:val="00B27A84"/>
    <w:rsid w:val="00B70EF3"/>
    <w:rsid w:val="00B727D4"/>
    <w:rsid w:val="00B80632"/>
    <w:rsid w:val="00B824BD"/>
    <w:rsid w:val="00B932DC"/>
    <w:rsid w:val="00B93D8E"/>
    <w:rsid w:val="00B96584"/>
    <w:rsid w:val="00BA5946"/>
    <w:rsid w:val="00BB3FAF"/>
    <w:rsid w:val="00BB6D41"/>
    <w:rsid w:val="00BE6147"/>
    <w:rsid w:val="00C34F23"/>
    <w:rsid w:val="00C6286A"/>
    <w:rsid w:val="00C97A45"/>
    <w:rsid w:val="00CB5C63"/>
    <w:rsid w:val="00CC15C6"/>
    <w:rsid w:val="00CC70BA"/>
    <w:rsid w:val="00CE478C"/>
    <w:rsid w:val="00D11B84"/>
    <w:rsid w:val="00D2450A"/>
    <w:rsid w:val="00D259B8"/>
    <w:rsid w:val="00D410FD"/>
    <w:rsid w:val="00D732A2"/>
    <w:rsid w:val="00D92C08"/>
    <w:rsid w:val="00DA7002"/>
    <w:rsid w:val="00DC5AEC"/>
    <w:rsid w:val="00DF5828"/>
    <w:rsid w:val="00DF6451"/>
    <w:rsid w:val="00E3547C"/>
    <w:rsid w:val="00E36572"/>
    <w:rsid w:val="00E53886"/>
    <w:rsid w:val="00E63C1D"/>
    <w:rsid w:val="00E712F2"/>
    <w:rsid w:val="00E96F96"/>
    <w:rsid w:val="00EE0646"/>
    <w:rsid w:val="00EF0188"/>
    <w:rsid w:val="00EF20C8"/>
    <w:rsid w:val="00F043A2"/>
    <w:rsid w:val="00F15426"/>
    <w:rsid w:val="00F267B6"/>
    <w:rsid w:val="00F316DC"/>
    <w:rsid w:val="00F44352"/>
    <w:rsid w:val="00F65469"/>
    <w:rsid w:val="00FA2BF0"/>
    <w:rsid w:val="00FB6661"/>
    <w:rsid w:val="00FB73DB"/>
    <w:rsid w:val="00FE0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C1D"/>
    <w:pPr>
      <w:ind w:left="720"/>
      <w:contextualSpacing/>
    </w:pPr>
  </w:style>
  <w:style w:type="paragraph" w:styleId="KeinLeerraum">
    <w:name w:val="No Spacing"/>
    <w:uiPriority w:val="1"/>
    <w:qFormat/>
    <w:rsid w:val="0060710D"/>
    <w:pPr>
      <w:spacing w:after="0" w:line="240" w:lineRule="auto"/>
    </w:pPr>
  </w:style>
  <w:style w:type="paragraph" w:styleId="Sprechblasentext">
    <w:name w:val="Balloon Text"/>
    <w:basedOn w:val="Standard"/>
    <w:link w:val="SprechblasentextZchn"/>
    <w:uiPriority w:val="99"/>
    <w:semiHidden/>
    <w:unhideWhenUsed/>
    <w:rsid w:val="00EF0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C1D"/>
    <w:pPr>
      <w:ind w:left="720"/>
      <w:contextualSpacing/>
    </w:pPr>
  </w:style>
  <w:style w:type="paragraph" w:styleId="KeinLeerraum">
    <w:name w:val="No Spacing"/>
    <w:uiPriority w:val="1"/>
    <w:qFormat/>
    <w:rsid w:val="0060710D"/>
    <w:pPr>
      <w:spacing w:after="0" w:line="240" w:lineRule="auto"/>
    </w:pPr>
  </w:style>
  <w:style w:type="paragraph" w:styleId="Sprechblasentext">
    <w:name w:val="Balloon Text"/>
    <w:basedOn w:val="Standard"/>
    <w:link w:val="SprechblasentextZchn"/>
    <w:uiPriority w:val="99"/>
    <w:semiHidden/>
    <w:unhideWhenUsed/>
    <w:rsid w:val="00EF0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9D97-7BDC-4360-B66E-5648CCF9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6838</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R+V Versicherung</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Toussaint</dc:creator>
  <cp:lastModifiedBy>Kaiser, Ulrich (HMUELV)</cp:lastModifiedBy>
  <cp:revision>2</cp:revision>
  <cp:lastPrinted>2015-06-23T07:36:00Z</cp:lastPrinted>
  <dcterms:created xsi:type="dcterms:W3CDTF">2015-06-23T07:37:00Z</dcterms:created>
  <dcterms:modified xsi:type="dcterms:W3CDTF">2015-06-23T07:37:00Z</dcterms:modified>
</cp:coreProperties>
</file>